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E685" w14:textId="77777777" w:rsidR="00275967" w:rsidRDefault="00275967" w:rsidP="00DF1D3D">
      <w:pPr>
        <w:spacing w:after="0" w:line="240" w:lineRule="auto"/>
        <w:jc w:val="center"/>
        <w:rPr>
          <w:rFonts w:ascii="Verdana" w:hAnsi="Verdana"/>
          <w:sz w:val="56"/>
          <w:szCs w:val="56"/>
        </w:rPr>
      </w:pPr>
    </w:p>
    <w:p w14:paraId="3A870E34" w14:textId="77777777" w:rsidR="00275967" w:rsidRDefault="00275967" w:rsidP="00DF1D3D">
      <w:pPr>
        <w:spacing w:after="0" w:line="240" w:lineRule="auto"/>
        <w:jc w:val="center"/>
        <w:rPr>
          <w:rFonts w:ascii="Verdana" w:hAnsi="Verdana"/>
          <w:sz w:val="56"/>
          <w:szCs w:val="56"/>
        </w:rPr>
      </w:pPr>
    </w:p>
    <w:p w14:paraId="1D54EA20" w14:textId="77777777" w:rsidR="00275967" w:rsidRDefault="00275967" w:rsidP="00DF1D3D">
      <w:pPr>
        <w:spacing w:after="0" w:line="240" w:lineRule="auto"/>
        <w:jc w:val="center"/>
        <w:rPr>
          <w:rFonts w:ascii="Verdana" w:hAnsi="Verdana"/>
          <w:sz w:val="56"/>
          <w:szCs w:val="56"/>
        </w:rPr>
      </w:pPr>
    </w:p>
    <w:p w14:paraId="5A1AB871" w14:textId="77777777" w:rsidR="00275967" w:rsidRDefault="00275967" w:rsidP="00DF1D3D">
      <w:pPr>
        <w:spacing w:after="0" w:line="240" w:lineRule="auto"/>
        <w:jc w:val="center"/>
        <w:rPr>
          <w:rFonts w:ascii="Verdana" w:hAnsi="Verdana"/>
          <w:sz w:val="56"/>
          <w:szCs w:val="56"/>
        </w:rPr>
      </w:pPr>
    </w:p>
    <w:p w14:paraId="71C15E1B" w14:textId="77777777" w:rsidR="00275967" w:rsidRDefault="00275967" w:rsidP="00DF1D3D">
      <w:pPr>
        <w:spacing w:after="0" w:line="240" w:lineRule="auto"/>
        <w:jc w:val="center"/>
        <w:rPr>
          <w:rFonts w:ascii="Verdana" w:hAnsi="Verdana"/>
          <w:sz w:val="56"/>
          <w:szCs w:val="56"/>
        </w:rPr>
      </w:pPr>
    </w:p>
    <w:p w14:paraId="56D4F839" w14:textId="5DA69122" w:rsidR="000F6586" w:rsidRPr="00CD715C" w:rsidRDefault="000F6586" w:rsidP="00DF1D3D">
      <w:pPr>
        <w:spacing w:after="0" w:line="240" w:lineRule="auto"/>
        <w:jc w:val="center"/>
        <w:rPr>
          <w:rFonts w:ascii="Verdana" w:hAnsi="Verdana"/>
          <w:sz w:val="56"/>
          <w:szCs w:val="56"/>
        </w:rPr>
      </w:pPr>
      <w:r w:rsidRPr="00CD715C">
        <w:rPr>
          <w:rFonts w:ascii="Verdana" w:hAnsi="Verdana"/>
          <w:sz w:val="56"/>
          <w:szCs w:val="56"/>
        </w:rPr>
        <w:t>MANIFESTACION DE IMPACTO REGULATORIO</w:t>
      </w:r>
    </w:p>
    <w:p w14:paraId="43439293" w14:textId="77777777" w:rsidR="000F6586" w:rsidRDefault="000F6586" w:rsidP="00DF1D3D">
      <w:pPr>
        <w:spacing w:after="0" w:line="240" w:lineRule="auto"/>
        <w:jc w:val="center"/>
        <w:rPr>
          <w:rFonts w:ascii="Verdana" w:hAnsi="Verdana"/>
          <w:sz w:val="56"/>
          <w:szCs w:val="56"/>
        </w:rPr>
      </w:pPr>
    </w:p>
    <w:p w14:paraId="2DC3A8E4" w14:textId="77777777" w:rsidR="00275967" w:rsidRPr="00CD715C" w:rsidRDefault="00275967" w:rsidP="00DF1D3D">
      <w:pPr>
        <w:spacing w:after="0" w:line="240" w:lineRule="auto"/>
        <w:jc w:val="center"/>
        <w:rPr>
          <w:rFonts w:ascii="Verdana" w:hAnsi="Verdana"/>
          <w:sz w:val="56"/>
          <w:szCs w:val="56"/>
        </w:rPr>
      </w:pPr>
    </w:p>
    <w:p w14:paraId="60D425F2" w14:textId="77777777" w:rsidR="000F6586" w:rsidRPr="00CD715C" w:rsidRDefault="000F6586" w:rsidP="00DF1D3D">
      <w:pPr>
        <w:spacing w:after="0" w:line="240" w:lineRule="auto"/>
        <w:ind w:left="142"/>
        <w:jc w:val="center"/>
        <w:rPr>
          <w:rFonts w:ascii="Verdana" w:hAnsi="Verdana" w:cs="Times New Roman"/>
          <w:i/>
        </w:rPr>
      </w:pPr>
      <w:r w:rsidRPr="00CD715C">
        <w:rPr>
          <w:rFonts w:ascii="Verdana" w:hAnsi="Verdana"/>
          <w:i/>
        </w:rPr>
        <w:t xml:space="preserve">Resolución </w:t>
      </w:r>
      <w:r w:rsidRPr="00CD715C">
        <w:rPr>
          <w:rFonts w:ascii="Verdana" w:hAnsi="Verdana" w:cs="Times New Roman"/>
          <w:i/>
        </w:rPr>
        <w:t xml:space="preserve">“Por medio de la cual se reglamenta el artículo 4 de la Ley 2206 de 2022, en relación con el registro de guaduales y bambusales Categoría 1, y se toman otras determinaciones”  </w:t>
      </w:r>
    </w:p>
    <w:p w14:paraId="4BBB00D4" w14:textId="4E22A0E4" w:rsidR="00275967" w:rsidRDefault="00275967">
      <w:pPr>
        <w:spacing w:after="160" w:line="259" w:lineRule="auto"/>
        <w:rPr>
          <w:lang w:eastAsia="es-ES"/>
        </w:rPr>
      </w:pPr>
      <w:r>
        <w:rPr>
          <w:lang w:eastAsia="es-ES"/>
        </w:rPr>
        <w:br w:type="page"/>
      </w:r>
    </w:p>
    <w:p w14:paraId="21831C81" w14:textId="77777777" w:rsidR="00275967" w:rsidRPr="00275967" w:rsidRDefault="00275967" w:rsidP="00275967">
      <w:pPr>
        <w:rPr>
          <w:lang w:eastAsia="es-ES"/>
        </w:rPr>
      </w:pPr>
    </w:p>
    <w:p w14:paraId="357618CF" w14:textId="66D1F0E0" w:rsidR="000F6586" w:rsidRPr="00CD715C" w:rsidRDefault="000F6586" w:rsidP="00DF1D3D">
      <w:pPr>
        <w:tabs>
          <w:tab w:val="left" w:pos="988"/>
        </w:tabs>
        <w:spacing w:after="0" w:line="240" w:lineRule="auto"/>
        <w:rPr>
          <w:rFonts w:ascii="Verdana" w:hAnsi="Verdana"/>
          <w:sz w:val="16"/>
          <w:szCs w:val="16"/>
        </w:rPr>
      </w:pPr>
    </w:p>
    <w:p w14:paraId="0EA27C11" w14:textId="77777777" w:rsidR="000F6586" w:rsidRPr="00CD715C" w:rsidRDefault="000F6586" w:rsidP="00DF1D3D">
      <w:pPr>
        <w:numPr>
          <w:ilvl w:val="0"/>
          <w:numId w:val="5"/>
        </w:numPr>
        <w:spacing w:after="0" w:line="240" w:lineRule="auto"/>
        <w:jc w:val="both"/>
        <w:rPr>
          <w:rFonts w:ascii="Verdana" w:hAnsi="Verdana" w:cs="Arial"/>
          <w:b/>
          <w:color w:val="000000"/>
          <w:lang w:eastAsia="es-ES"/>
        </w:rPr>
      </w:pPr>
      <w:r w:rsidRPr="00CD715C">
        <w:rPr>
          <w:rFonts w:ascii="Verdana" w:hAnsi="Verdana" w:cs="Arial"/>
          <w:b/>
          <w:color w:val="000000"/>
        </w:rPr>
        <w:t>ANTECEDENTES Y RAZONES DE OPORTUNIDAD Y CONVENIENCIA QUE JUSTIFICAN SU EXPEDICIÓN.</w:t>
      </w:r>
    </w:p>
    <w:p w14:paraId="0A7E5ADE" w14:textId="77777777" w:rsidR="000F6586" w:rsidRPr="00CD715C" w:rsidRDefault="000F6586" w:rsidP="00DF1D3D">
      <w:pPr>
        <w:spacing w:after="0" w:line="240" w:lineRule="auto"/>
        <w:ind w:left="720"/>
        <w:jc w:val="both"/>
        <w:rPr>
          <w:rFonts w:ascii="Verdana" w:hAnsi="Verdana" w:cs="Arial"/>
          <w:b/>
          <w:color w:val="000000"/>
          <w:lang w:eastAsia="es-ES"/>
        </w:rPr>
      </w:pPr>
    </w:p>
    <w:p w14:paraId="5FFDF039" w14:textId="77777777" w:rsidR="002D21EC" w:rsidRPr="00CD715C" w:rsidRDefault="002D21EC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</w:p>
    <w:p w14:paraId="774735CC" w14:textId="0BFD9438" w:rsidR="000F6586" w:rsidRDefault="002D21EC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  <w:lang w:val="es-ES_tradnl"/>
        </w:rPr>
      </w:pPr>
      <w:r w:rsidRPr="002D21EC">
        <w:rPr>
          <w:rFonts w:ascii="Verdana" w:hAnsi="Verdana" w:cs="Arial"/>
          <w:lang w:val="es-ES_tradnl"/>
        </w:rPr>
        <w:t>El Congreso de la República expidió la Ley 2206 del 17 de mayo de 2022, mediante la cual se incentiva el uso productivo de la guadua y el bambú, así como su sostenibilidad ambiental en el territorio nacional. Sus objetivos principales son: estimular la producción de guadua y bambú como un nuevo renglón económico del país, promoviendo todos los eslabones de su cadena productiva; fomentar la sostenibilidad y el manejo responsable de los guaduales y bambusales naturales, así como el establecimiento de plantaciones comerciales; facilitar el manejo sostenible de estas especies para contribuir a la mitigación del cambio climático y a la protección de cuencas y microcuencas; impulsar la investigación, el desarrollo tecnológico, la innovación en productos y subproductos, la normalización técnica, la estandarización y la capacitación para mejorar su transformación, comercialización y aporte a la generación de empleo e ingresos rurales; conservar la guadua y el bambú como elementos representativos del paisaje rural colombiano, del paisaje cultural cafetero y de otras regiones con usos ancestrales; e impulsar el desarrollo empresarial en sectores como la construcción, la industria, la agroindustria y otros que aprovechen sus múltiples aplicaciones.</w:t>
      </w:r>
    </w:p>
    <w:p w14:paraId="0EF5AAB0" w14:textId="77777777" w:rsidR="002D21EC" w:rsidRPr="00CD715C" w:rsidRDefault="002D21EC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</w:p>
    <w:p w14:paraId="01E7C707" w14:textId="77777777" w:rsidR="000F6586" w:rsidRPr="00CD715C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  <w:r w:rsidRPr="00CD715C">
        <w:rPr>
          <w:rFonts w:ascii="Verdana" w:hAnsi="Verdana" w:cs="Arial"/>
        </w:rPr>
        <w:t>La precitada ley en su artículo 3, determina que, para efectos del manejo sostenible (uso, preservación, restauración y manejo), la guadua y el bambú se clasifican así, Categoría 1: guaduales y bambusales naturales dentro de áreas protectoras; Categoría 2: guaduales y bambusales plantados con carácter protector y protector-productor; y, Categoría 3: guaduales y bambusales plantados con carácter productor.</w:t>
      </w:r>
    </w:p>
    <w:p w14:paraId="33CB0B05" w14:textId="77777777" w:rsidR="000F6586" w:rsidRPr="00CD715C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</w:p>
    <w:p w14:paraId="0F72907E" w14:textId="7EBDE8B7" w:rsidR="000F6586" w:rsidRPr="00CD715C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  <w:r w:rsidRPr="00CD715C">
        <w:rPr>
          <w:rFonts w:ascii="Verdana" w:hAnsi="Verdana" w:cs="Arial"/>
        </w:rPr>
        <w:t>La misma ley define que los guaduales y bambusales naturales Categoría 1, son aquellas masas de guaduales y bambusales que se dan espontáneamente con poder regenerativo, y que generalmente conforman manchas casi homogéneas en el estrato superior o dominante y con estratos inferiores conformados por flora nativa, constitutivas de bosques protectores</w:t>
      </w:r>
      <w:r w:rsidR="004948AC">
        <w:rPr>
          <w:rFonts w:ascii="Verdana" w:hAnsi="Verdana" w:cs="Arial"/>
        </w:rPr>
        <w:t>, q</w:t>
      </w:r>
      <w:r w:rsidRPr="00CD715C">
        <w:rPr>
          <w:rFonts w:ascii="Verdana" w:hAnsi="Verdana" w:cs="Arial"/>
        </w:rPr>
        <w:t>ue tienen como finalidad la recuperación, rehabilitación, restauración y/o manejo sostenible, teniendo mayor protección aquellos ubicados en la faja no inferior a 30 metros de ancho paralela a cada lado de los cauces de los ríos, quebradas y arroyos; o ubicados dentro de la faja de 100 metros de ancho adyacente al perímetro de los afloramientos de agua, incluyendo los causes intermitentes</w:t>
      </w:r>
      <w:r w:rsidR="00C61FD5">
        <w:rPr>
          <w:rFonts w:ascii="Verdana" w:hAnsi="Verdana" w:cs="Arial"/>
        </w:rPr>
        <w:t>.</w:t>
      </w:r>
    </w:p>
    <w:p w14:paraId="391DFBCE" w14:textId="77777777" w:rsidR="000F6586" w:rsidRPr="00CD715C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</w:p>
    <w:p w14:paraId="4E51D2FF" w14:textId="77777777" w:rsidR="000F6586" w:rsidRPr="00CD715C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  <w:r w:rsidRPr="00CD715C">
        <w:rPr>
          <w:rFonts w:ascii="Verdana" w:hAnsi="Verdana" w:cs="Arial"/>
        </w:rPr>
        <w:lastRenderedPageBreak/>
        <w:t>El artículo 4 de la Ley 2206 de 2022, establece que los guaduales y bambusales Categoría 1, deberán registrarse de conformidad con los lineamientos que para tales efectos establezca el Ministerio de Ambiente y Desarrollo Sostenible.</w:t>
      </w:r>
    </w:p>
    <w:p w14:paraId="34184D37" w14:textId="77777777" w:rsidR="000F6586" w:rsidRPr="00CD715C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</w:p>
    <w:p w14:paraId="235702E3" w14:textId="77777777" w:rsidR="000F6586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  <w:r w:rsidRPr="00CD715C">
        <w:rPr>
          <w:rFonts w:ascii="Verdana" w:hAnsi="Verdana" w:cs="Arial"/>
        </w:rPr>
        <w:t>De conformidad con el numeral 1 del artículo 16 del Decreto Ley 3570 de 2011, la Dirección de Bosques, Biodiversidad y Servicios Ecosistémicos del Ministerio de Ambiente y Desarrollo Sostenible, tiene las siguientes funciones:</w:t>
      </w:r>
    </w:p>
    <w:p w14:paraId="4D83C595" w14:textId="77777777" w:rsidR="00C61FD5" w:rsidRPr="00CD715C" w:rsidRDefault="00C61FD5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</w:p>
    <w:p w14:paraId="5C167204" w14:textId="77777777" w:rsidR="000F6586" w:rsidRPr="00CD715C" w:rsidRDefault="000F6586" w:rsidP="00275967">
      <w:pPr>
        <w:pStyle w:val="Prrafodelista"/>
        <w:spacing w:after="0" w:line="240" w:lineRule="auto"/>
        <w:ind w:left="708" w:right="900"/>
        <w:jc w:val="both"/>
        <w:rPr>
          <w:rFonts w:ascii="Verdana" w:hAnsi="Verdana" w:cs="Arial"/>
        </w:rPr>
      </w:pPr>
      <w:r w:rsidRPr="00CD715C">
        <w:rPr>
          <w:rFonts w:ascii="Verdana" w:hAnsi="Verdana" w:cs="Arial"/>
        </w:rPr>
        <w:t>“</w:t>
      </w:r>
      <w:r w:rsidRPr="00CD715C">
        <w:rPr>
          <w:rFonts w:ascii="Verdana" w:hAnsi="Verdana" w:cs="Arial"/>
          <w:i/>
          <w:iCs/>
        </w:rPr>
        <w:t>Aportar los elementos técnicos para la elaboración de la política y la regulación de la biodiversidad y realizar el seguimiento y evaluación de estas</w:t>
      </w:r>
      <w:r w:rsidRPr="00CD715C">
        <w:rPr>
          <w:rFonts w:ascii="Verdana" w:hAnsi="Verdana" w:cs="Arial"/>
        </w:rPr>
        <w:t xml:space="preserve">”, </w:t>
      </w:r>
    </w:p>
    <w:p w14:paraId="6420DC17" w14:textId="77777777" w:rsidR="000F6586" w:rsidRPr="00CD715C" w:rsidRDefault="000F6586" w:rsidP="00275967">
      <w:pPr>
        <w:pStyle w:val="Prrafodelista"/>
        <w:spacing w:after="0" w:line="240" w:lineRule="auto"/>
        <w:ind w:left="708" w:right="900"/>
        <w:jc w:val="both"/>
        <w:rPr>
          <w:rFonts w:ascii="Verdana" w:hAnsi="Verdana" w:cs="Arial"/>
        </w:rPr>
      </w:pPr>
      <w:r w:rsidRPr="00CD715C">
        <w:rPr>
          <w:rFonts w:ascii="Verdana" w:hAnsi="Verdana" w:cs="Arial"/>
        </w:rPr>
        <w:t>“</w:t>
      </w:r>
      <w:r w:rsidRPr="00CD715C">
        <w:rPr>
          <w:rFonts w:ascii="Verdana" w:hAnsi="Verdana" w:cs="Arial"/>
          <w:i/>
          <w:iCs/>
        </w:rPr>
        <w:t>11. Proponer las bases técnicas para la regulación de las condiciones generales del uso sostenible, aprovechamiento, manejo, conservación y restauración de la diversidad biológica tendientes a prevenir, mitigar y controlar su pérdida y/o deterioro, en coordinación con las otras dependencias</w:t>
      </w:r>
      <w:r w:rsidRPr="00CD715C">
        <w:rPr>
          <w:rFonts w:ascii="Verdana" w:hAnsi="Verdana" w:cs="Arial"/>
        </w:rPr>
        <w:t>”,</w:t>
      </w:r>
    </w:p>
    <w:p w14:paraId="5BA859FC" w14:textId="77777777" w:rsidR="000F6586" w:rsidRPr="00CD715C" w:rsidRDefault="000F6586" w:rsidP="00275967">
      <w:pPr>
        <w:pStyle w:val="Prrafodelista"/>
        <w:spacing w:after="0" w:line="240" w:lineRule="auto"/>
        <w:ind w:left="708" w:right="900"/>
        <w:jc w:val="both"/>
        <w:rPr>
          <w:rFonts w:ascii="Verdana" w:hAnsi="Verdana" w:cs="Arial"/>
        </w:rPr>
      </w:pPr>
      <w:r w:rsidRPr="00CD715C">
        <w:rPr>
          <w:rFonts w:ascii="Verdana" w:hAnsi="Verdana" w:cs="Arial"/>
        </w:rPr>
        <w:t xml:space="preserve"> “</w:t>
      </w:r>
      <w:r w:rsidRPr="00CD715C">
        <w:rPr>
          <w:rFonts w:ascii="Verdana" w:hAnsi="Verdana" w:cs="Arial"/>
          <w:i/>
          <w:iCs/>
        </w:rPr>
        <w:t>18. Las demás funciones que le sean asignadas y que correspondan a la naturaleza de la dependencia”.</w:t>
      </w:r>
    </w:p>
    <w:p w14:paraId="64910D82" w14:textId="77777777" w:rsidR="000F6586" w:rsidRPr="00CD715C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</w:p>
    <w:p w14:paraId="0674A4F7" w14:textId="77777777" w:rsidR="00026243" w:rsidRDefault="00026243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  <w:lang w:val="es-ES_tradnl"/>
        </w:rPr>
      </w:pPr>
    </w:p>
    <w:p w14:paraId="0504B007" w14:textId="75097259" w:rsidR="000F6586" w:rsidRDefault="00026243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  <w:lang w:val="es-ES_tradnl"/>
        </w:rPr>
      </w:pPr>
      <w:r w:rsidRPr="00026243">
        <w:rPr>
          <w:rFonts w:ascii="Verdana" w:hAnsi="Verdana" w:cs="Arial"/>
          <w:lang w:val="es-ES_tradnl"/>
        </w:rPr>
        <w:t>Por lo tanto, es la dependencia competente para establecer los lineamientos del registro de los guaduales y bambusales de Categoría 1, entendidos como ecosistemas naturales conformados por masas homogéneas dominadas por especies de guadua y bambú. Estos ecosistemas se desarrollan mediante procesos biológicos y fisiológicos propios, lo que significa que crecen de manera natural y no han sido establecidos por intervención humana.</w:t>
      </w:r>
    </w:p>
    <w:p w14:paraId="214C2837" w14:textId="77777777" w:rsidR="00026243" w:rsidRPr="00CD715C" w:rsidRDefault="00026243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</w:p>
    <w:p w14:paraId="1FE1B8F0" w14:textId="77777777" w:rsidR="000F6586" w:rsidRPr="00CD715C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  <w:r w:rsidRPr="00CD715C">
        <w:rPr>
          <w:rFonts w:ascii="Verdana" w:hAnsi="Verdana" w:cs="Arial"/>
        </w:rPr>
        <w:t>Así las cosas, el proyecto de resolución responde a los requerimientos jurídicos y técnicos que darán cumplimiento al mandato de ley que se busca reglamentar.</w:t>
      </w:r>
    </w:p>
    <w:p w14:paraId="3180921A" w14:textId="77777777" w:rsidR="000F6586" w:rsidRPr="00CD715C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</w:p>
    <w:p w14:paraId="2C71AACA" w14:textId="77777777" w:rsidR="000F6586" w:rsidRPr="00CD715C" w:rsidRDefault="000F6586" w:rsidP="00DF1D3D">
      <w:pPr>
        <w:numPr>
          <w:ilvl w:val="0"/>
          <w:numId w:val="5"/>
        </w:numPr>
        <w:spacing w:after="0" w:line="240" w:lineRule="auto"/>
        <w:jc w:val="both"/>
        <w:rPr>
          <w:rFonts w:ascii="Verdana" w:hAnsi="Verdana" w:cs="Arial"/>
          <w:b/>
          <w:bCs/>
        </w:rPr>
      </w:pPr>
      <w:r w:rsidRPr="00CD715C">
        <w:rPr>
          <w:rFonts w:ascii="Verdana" w:hAnsi="Verdana" w:cs="Arial"/>
          <w:b/>
          <w:bCs/>
        </w:rPr>
        <w:t>EFICACIA</w:t>
      </w:r>
    </w:p>
    <w:p w14:paraId="1FB1DBD4" w14:textId="77777777" w:rsidR="000F6586" w:rsidRPr="00CD715C" w:rsidRDefault="000F6586" w:rsidP="00DF1D3D">
      <w:pPr>
        <w:pStyle w:val="Textoindependiente"/>
        <w:widowControl w:val="0"/>
        <w:ind w:right="618"/>
        <w:rPr>
          <w:rFonts w:ascii="Verdana" w:hAnsi="Verdana" w:cs="Arial"/>
          <w:sz w:val="22"/>
          <w:szCs w:val="22"/>
          <w:lang w:val="es-ES_tradnl"/>
        </w:rPr>
      </w:pPr>
    </w:p>
    <w:p w14:paraId="054B22B2" w14:textId="4034F558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CD715C">
        <w:rPr>
          <w:rFonts w:ascii="Verdana" w:eastAsia="Times New Roman" w:hAnsi="Verdana" w:cs="Arial"/>
          <w:lang w:eastAsia="es-ES"/>
        </w:rPr>
        <w:t xml:space="preserve">Mediante la implementación de la reglamentación se dará cumplimiento a la obligación establecida en el artículo 4 de la Ley 2206 del 17 de mayo 2022, en relación con el registro de los guaduales y bambusales </w:t>
      </w:r>
      <w:r w:rsidR="009A3F90">
        <w:rPr>
          <w:rFonts w:ascii="Verdana" w:eastAsia="Times New Roman" w:hAnsi="Verdana" w:cs="Arial"/>
          <w:lang w:eastAsia="es-ES"/>
        </w:rPr>
        <w:t>C</w:t>
      </w:r>
      <w:r w:rsidRPr="00CD715C">
        <w:rPr>
          <w:rFonts w:ascii="Verdana" w:eastAsia="Times New Roman" w:hAnsi="Verdana" w:cs="Arial"/>
          <w:lang w:eastAsia="es-ES"/>
        </w:rPr>
        <w:t>ategoría 1.</w:t>
      </w:r>
    </w:p>
    <w:p w14:paraId="2E7EAF80" w14:textId="77777777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eastAsia="Times New Roman" w:hAnsi="Verdana" w:cs="Arial"/>
          <w:lang w:eastAsia="es-ES"/>
        </w:rPr>
      </w:pPr>
    </w:p>
    <w:p w14:paraId="4D1F9B1D" w14:textId="5C54BBCA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CD715C">
        <w:rPr>
          <w:rFonts w:ascii="Verdana" w:eastAsia="Times New Roman" w:hAnsi="Verdana" w:cs="Arial"/>
          <w:lang w:eastAsia="es-ES"/>
        </w:rPr>
        <w:t xml:space="preserve">La señalada iniciativa normativa establece con claridad los requisitos que se deben cumplir para el registro de los guaduales y bambusales </w:t>
      </w:r>
      <w:r w:rsidR="009A3F90">
        <w:rPr>
          <w:rFonts w:ascii="Verdana" w:eastAsia="Times New Roman" w:hAnsi="Verdana" w:cs="Arial"/>
          <w:lang w:eastAsia="es-ES"/>
        </w:rPr>
        <w:t>C</w:t>
      </w:r>
      <w:r w:rsidRPr="00CD715C">
        <w:rPr>
          <w:rFonts w:ascii="Verdana" w:eastAsia="Times New Roman" w:hAnsi="Verdana" w:cs="Arial"/>
          <w:lang w:eastAsia="es-ES"/>
        </w:rPr>
        <w:t>ategoría 1, evitando de esta manera la exigencia de requisitos adicionales por parte de las autoridades ambientales competentes</w:t>
      </w:r>
      <w:r w:rsidR="009A3F90">
        <w:rPr>
          <w:rStyle w:val="Refdenotaalpie"/>
          <w:rFonts w:ascii="Verdana" w:eastAsia="Times New Roman" w:hAnsi="Verdana" w:cs="Arial"/>
          <w:lang w:eastAsia="es-ES"/>
        </w:rPr>
        <w:footnoteReference w:id="1"/>
      </w:r>
      <w:r w:rsidRPr="00CD715C">
        <w:rPr>
          <w:rFonts w:ascii="Verdana" w:eastAsia="Times New Roman" w:hAnsi="Verdana" w:cs="Arial"/>
          <w:lang w:eastAsia="es-ES"/>
        </w:rPr>
        <w:t>.</w:t>
      </w:r>
    </w:p>
    <w:p w14:paraId="076A8184" w14:textId="77777777" w:rsidR="000F6586" w:rsidRDefault="000F6586" w:rsidP="00DF1D3D">
      <w:pPr>
        <w:numPr>
          <w:ilvl w:val="0"/>
          <w:numId w:val="5"/>
        </w:numPr>
        <w:spacing w:after="0" w:line="240" w:lineRule="auto"/>
        <w:jc w:val="both"/>
        <w:rPr>
          <w:rFonts w:ascii="Verdana" w:hAnsi="Verdana" w:cs="Arial"/>
          <w:b/>
          <w:bCs/>
        </w:rPr>
      </w:pPr>
      <w:r w:rsidRPr="00CD715C">
        <w:rPr>
          <w:rFonts w:ascii="Verdana" w:hAnsi="Verdana" w:cs="Arial"/>
          <w:b/>
          <w:bCs/>
        </w:rPr>
        <w:lastRenderedPageBreak/>
        <w:t>EFICIENCIA</w:t>
      </w:r>
    </w:p>
    <w:p w14:paraId="7DB04EEA" w14:textId="77777777" w:rsidR="00DF1D3D" w:rsidRPr="00CD715C" w:rsidRDefault="00DF1D3D" w:rsidP="00DF1D3D">
      <w:pPr>
        <w:spacing w:after="0" w:line="240" w:lineRule="auto"/>
        <w:ind w:left="720"/>
        <w:jc w:val="both"/>
        <w:rPr>
          <w:rFonts w:ascii="Verdana" w:hAnsi="Verdana" w:cs="Arial"/>
          <w:b/>
          <w:bCs/>
        </w:rPr>
      </w:pPr>
    </w:p>
    <w:p w14:paraId="1BF74BB2" w14:textId="6F29465D" w:rsidR="000F6586" w:rsidRDefault="000F6586" w:rsidP="00DF1D3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CD715C">
        <w:rPr>
          <w:rFonts w:ascii="Verdana" w:eastAsia="Times New Roman" w:hAnsi="Verdana" w:cs="Arial"/>
          <w:lang w:eastAsia="es-ES"/>
        </w:rPr>
        <w:t xml:space="preserve">Con el fin de contribuir a la mejora en la gestión y atención a los usuarios, la iniciativa establece los tiempos (plazos) con que cuenta la entidad para atender diligentemente las diferentes solicitudes que presenten los </w:t>
      </w:r>
      <w:r w:rsidR="00784B38">
        <w:rPr>
          <w:rFonts w:ascii="Verdana" w:eastAsia="Times New Roman" w:hAnsi="Verdana" w:cs="Arial"/>
          <w:lang w:eastAsia="es-ES"/>
        </w:rPr>
        <w:t>interesados</w:t>
      </w:r>
      <w:r w:rsidR="00A50971">
        <w:rPr>
          <w:rFonts w:ascii="Verdana" w:eastAsia="Times New Roman" w:hAnsi="Verdana" w:cs="Arial"/>
          <w:lang w:eastAsia="es-ES"/>
        </w:rPr>
        <w:t xml:space="preserve"> en el </w:t>
      </w:r>
      <w:r w:rsidRPr="00CD715C">
        <w:rPr>
          <w:rFonts w:ascii="Verdana" w:eastAsia="Times New Roman" w:hAnsi="Verdana" w:cs="Arial"/>
          <w:lang w:eastAsia="es-ES"/>
        </w:rPr>
        <w:t xml:space="preserve">registro de los guaduales y bambusales </w:t>
      </w:r>
      <w:r w:rsidR="00A50971">
        <w:rPr>
          <w:rFonts w:ascii="Verdana" w:eastAsia="Times New Roman" w:hAnsi="Verdana" w:cs="Arial"/>
          <w:lang w:eastAsia="es-ES"/>
        </w:rPr>
        <w:t>C</w:t>
      </w:r>
      <w:r w:rsidRPr="00CD715C">
        <w:rPr>
          <w:rFonts w:ascii="Verdana" w:eastAsia="Times New Roman" w:hAnsi="Verdana" w:cs="Arial"/>
          <w:lang w:eastAsia="es-ES"/>
        </w:rPr>
        <w:t xml:space="preserve">ategoría 1 en todo el territorio nacional, incorporando un formato estandarizado para </w:t>
      </w:r>
      <w:r w:rsidR="00A50971">
        <w:rPr>
          <w:rFonts w:ascii="Verdana" w:eastAsia="Times New Roman" w:hAnsi="Verdana" w:cs="Arial"/>
          <w:lang w:eastAsia="es-ES"/>
        </w:rPr>
        <w:t xml:space="preserve">ello </w:t>
      </w:r>
      <w:r w:rsidRPr="00CD715C">
        <w:rPr>
          <w:rFonts w:ascii="Verdana" w:eastAsia="Times New Roman" w:hAnsi="Verdana" w:cs="Arial"/>
          <w:lang w:eastAsia="es-ES"/>
        </w:rPr>
        <w:t xml:space="preserve">y optimizando los tiempos </w:t>
      </w:r>
      <w:r w:rsidR="005F4361">
        <w:rPr>
          <w:rFonts w:ascii="Verdana" w:eastAsia="Times New Roman" w:hAnsi="Verdana" w:cs="Arial"/>
          <w:lang w:eastAsia="es-ES"/>
        </w:rPr>
        <w:t>del proceso</w:t>
      </w:r>
      <w:r w:rsidR="00461192">
        <w:rPr>
          <w:rFonts w:ascii="Verdana" w:eastAsia="Times New Roman" w:hAnsi="Verdana" w:cs="Arial"/>
          <w:lang w:eastAsia="es-ES"/>
        </w:rPr>
        <w:t xml:space="preserve"> (Ver Figura 1)</w:t>
      </w:r>
      <w:r w:rsidR="005F4361">
        <w:rPr>
          <w:rFonts w:ascii="Verdana" w:eastAsia="Times New Roman" w:hAnsi="Verdana" w:cs="Arial"/>
          <w:lang w:eastAsia="es-ES"/>
        </w:rPr>
        <w:t xml:space="preserve">, </w:t>
      </w:r>
      <w:r w:rsidRPr="00CD715C">
        <w:rPr>
          <w:rFonts w:ascii="Verdana" w:eastAsia="Times New Roman" w:hAnsi="Verdana" w:cs="Arial"/>
          <w:lang w:eastAsia="es-ES"/>
        </w:rPr>
        <w:t>en cumplimiento de su objeto misional.</w:t>
      </w:r>
    </w:p>
    <w:p w14:paraId="25C45A71" w14:textId="77777777" w:rsidR="00DF1D3D" w:rsidRPr="00CD715C" w:rsidRDefault="00DF1D3D" w:rsidP="00DF1D3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</w:p>
    <w:p w14:paraId="791F9B9D" w14:textId="77777777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eastAsia="Times New Roman" w:hAnsi="Verdana" w:cs="Arial"/>
          <w:lang w:eastAsia="es-ES"/>
        </w:rPr>
      </w:pPr>
    </w:p>
    <w:p w14:paraId="4CA1DFD4" w14:textId="6419F314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eastAsia="Times New Roman" w:hAnsi="Verdana" w:cs="Arial"/>
          <w:lang w:eastAsia="es-ES"/>
        </w:rPr>
      </w:pPr>
      <w:r w:rsidRPr="00CD715C">
        <w:rPr>
          <w:rFonts w:ascii="Verdana" w:eastAsia="Times New Roman" w:hAnsi="Verdana" w:cs="Arial"/>
          <w:noProof/>
          <w:lang w:eastAsia="es-ES"/>
        </w:rPr>
        <w:drawing>
          <wp:inline distT="0" distB="0" distL="0" distR="0" wp14:anchorId="10DCC5C8" wp14:editId="52AE4369">
            <wp:extent cx="5400040" cy="2439035"/>
            <wp:effectExtent l="0" t="0" r="0" b="0"/>
            <wp:docPr id="743368201" name="Imagen 2" descr="Imagen que contiene Código QR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368201" name="Imagen 2" descr="Imagen que contiene Código QR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43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14A35A" w14:textId="77777777" w:rsidR="000F6586" w:rsidRDefault="000F6586" w:rsidP="00DF1D3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eastAsia="Times New Roman" w:hAnsi="Verdana" w:cs="Arial"/>
          <w:lang w:eastAsia="es-ES"/>
        </w:rPr>
      </w:pPr>
    </w:p>
    <w:p w14:paraId="491D12FF" w14:textId="709F2E75" w:rsidR="005F4361" w:rsidRDefault="005F4361" w:rsidP="005F43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Verdana" w:eastAsia="Times New Roman" w:hAnsi="Verdana" w:cs="Arial"/>
          <w:sz w:val="16"/>
          <w:szCs w:val="16"/>
          <w:lang w:eastAsia="es-ES"/>
        </w:rPr>
      </w:pPr>
      <w:r>
        <w:rPr>
          <w:rFonts w:ascii="Verdana" w:eastAsia="Times New Roman" w:hAnsi="Verdana" w:cs="Arial"/>
          <w:sz w:val="16"/>
          <w:szCs w:val="16"/>
          <w:lang w:eastAsia="es-ES"/>
        </w:rPr>
        <w:t xml:space="preserve">Figura 1. Procedimiento </w:t>
      </w:r>
      <w:r w:rsidR="00F260DF">
        <w:rPr>
          <w:rFonts w:ascii="Verdana" w:eastAsia="Times New Roman" w:hAnsi="Verdana" w:cs="Arial"/>
          <w:sz w:val="16"/>
          <w:szCs w:val="16"/>
          <w:lang w:eastAsia="es-ES"/>
        </w:rPr>
        <w:t xml:space="preserve">y plazos </w:t>
      </w:r>
      <w:r>
        <w:rPr>
          <w:rFonts w:ascii="Verdana" w:eastAsia="Times New Roman" w:hAnsi="Verdana" w:cs="Arial"/>
          <w:sz w:val="16"/>
          <w:szCs w:val="16"/>
          <w:lang w:eastAsia="es-ES"/>
        </w:rPr>
        <w:t>propuesto</w:t>
      </w:r>
      <w:r w:rsidR="00F260DF">
        <w:rPr>
          <w:rFonts w:ascii="Verdana" w:eastAsia="Times New Roman" w:hAnsi="Verdana" w:cs="Arial"/>
          <w:sz w:val="16"/>
          <w:szCs w:val="16"/>
          <w:lang w:eastAsia="es-ES"/>
        </w:rPr>
        <w:t>s</w:t>
      </w:r>
      <w:r>
        <w:rPr>
          <w:rFonts w:ascii="Verdana" w:eastAsia="Times New Roman" w:hAnsi="Verdana" w:cs="Arial"/>
          <w:sz w:val="16"/>
          <w:szCs w:val="16"/>
          <w:lang w:eastAsia="es-ES"/>
        </w:rPr>
        <w:t xml:space="preserve"> para el registro de guaduales y bambusales Categoría 1.</w:t>
      </w:r>
    </w:p>
    <w:p w14:paraId="11C2017E" w14:textId="77777777" w:rsidR="00461192" w:rsidRDefault="00461192" w:rsidP="00F260DF">
      <w:pPr>
        <w:autoSpaceDE w:val="0"/>
        <w:autoSpaceDN w:val="0"/>
        <w:adjustRightInd w:val="0"/>
        <w:spacing w:after="0" w:line="240" w:lineRule="auto"/>
        <w:ind w:left="360"/>
        <w:rPr>
          <w:rFonts w:ascii="Verdana" w:eastAsia="Times New Roman" w:hAnsi="Verdana" w:cs="Arial"/>
          <w:sz w:val="16"/>
          <w:szCs w:val="16"/>
          <w:lang w:eastAsia="es-ES"/>
        </w:rPr>
      </w:pPr>
    </w:p>
    <w:p w14:paraId="23037D4E" w14:textId="77777777" w:rsidR="005F4361" w:rsidRPr="00CD715C" w:rsidRDefault="005F4361" w:rsidP="00275967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</w:p>
    <w:p w14:paraId="27CB9DA5" w14:textId="77777777" w:rsidR="000F6586" w:rsidRPr="00CD715C" w:rsidRDefault="000F6586" w:rsidP="00DF1D3D">
      <w:pPr>
        <w:numPr>
          <w:ilvl w:val="0"/>
          <w:numId w:val="5"/>
        </w:numPr>
        <w:spacing w:after="0" w:line="240" w:lineRule="auto"/>
        <w:jc w:val="both"/>
        <w:rPr>
          <w:rFonts w:ascii="Verdana" w:eastAsia="Times New Roman" w:hAnsi="Verdana" w:cs="Arial"/>
          <w:b/>
          <w:bCs/>
          <w:lang w:eastAsia="es-ES"/>
        </w:rPr>
      </w:pPr>
      <w:r w:rsidRPr="00CD715C">
        <w:rPr>
          <w:rFonts w:ascii="Verdana" w:eastAsia="Times New Roman" w:hAnsi="Verdana" w:cs="Arial"/>
          <w:b/>
          <w:bCs/>
          <w:lang w:eastAsia="es-ES"/>
        </w:rPr>
        <w:t>COSTOS DE IMPLEMENTACIÓN</w:t>
      </w:r>
    </w:p>
    <w:p w14:paraId="496B96C9" w14:textId="77777777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eastAsia="Times New Roman" w:hAnsi="Verdana" w:cs="Arial"/>
          <w:lang w:eastAsia="es-ES"/>
        </w:rPr>
      </w:pPr>
    </w:p>
    <w:p w14:paraId="3F8480AD" w14:textId="77777777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CD715C">
        <w:rPr>
          <w:rFonts w:ascii="Verdana" w:eastAsia="Times New Roman" w:hAnsi="Verdana" w:cs="Arial"/>
          <w:lang w:eastAsia="es-ES"/>
        </w:rPr>
        <w:t xml:space="preserve">Con la presente iniciativa se pretende dar cumplimiento a las disposiciones de la Ley 2206 de 2022, en el sentido de reglamentar el registro de los guaduales y bambusales Categoría 1, estableciendo una modificación en los Formularios Únicos Nacionales, hoy Formatos Únicos Nacionales para la obtención de permisos y concesiones para el uso y/o aprovechamiento de los recursos naturales renovables y de control del medio ambiente adoptados mediante la Resolución 2202 de 29 de diciembre de 2006, para lo cual, se busca: </w:t>
      </w:r>
    </w:p>
    <w:p w14:paraId="594936A7" w14:textId="77777777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</w:p>
    <w:p w14:paraId="68C27B48" w14:textId="77777777" w:rsidR="000F6586" w:rsidRPr="00CD715C" w:rsidRDefault="000F6586" w:rsidP="00DF1D3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CD715C">
        <w:rPr>
          <w:rFonts w:ascii="Verdana" w:eastAsia="Times New Roman" w:hAnsi="Verdana" w:cs="Arial"/>
          <w:lang w:eastAsia="es-ES"/>
        </w:rPr>
        <w:t>Establecer el formato de registro, actualización, y cancelación de guaduales y bambusales Categoría 1</w:t>
      </w:r>
    </w:p>
    <w:p w14:paraId="08007877" w14:textId="77777777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</w:p>
    <w:p w14:paraId="151A11A6" w14:textId="21826A39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CD715C">
        <w:rPr>
          <w:rFonts w:ascii="Verdana" w:eastAsia="Times New Roman" w:hAnsi="Verdana" w:cs="Arial"/>
          <w:lang w:eastAsia="es-ES"/>
        </w:rPr>
        <w:t xml:space="preserve">La </w:t>
      </w:r>
      <w:r w:rsidR="00B05ADC">
        <w:rPr>
          <w:rFonts w:ascii="Verdana" w:eastAsia="Times New Roman" w:hAnsi="Verdana" w:cs="Arial"/>
          <w:lang w:eastAsia="es-ES"/>
        </w:rPr>
        <w:t xml:space="preserve">propuesta de </w:t>
      </w:r>
      <w:r w:rsidRPr="00CD715C">
        <w:rPr>
          <w:rFonts w:ascii="Verdana" w:eastAsia="Times New Roman" w:hAnsi="Verdana" w:cs="Arial"/>
          <w:lang w:eastAsia="es-ES"/>
        </w:rPr>
        <w:t xml:space="preserve">ajuste </w:t>
      </w:r>
      <w:r w:rsidR="00B05ADC">
        <w:rPr>
          <w:rFonts w:ascii="Verdana" w:eastAsia="Times New Roman" w:hAnsi="Verdana" w:cs="Arial"/>
          <w:lang w:eastAsia="es-ES"/>
        </w:rPr>
        <w:t xml:space="preserve">del señalado formato </w:t>
      </w:r>
      <w:r w:rsidRPr="00CD715C">
        <w:rPr>
          <w:rFonts w:ascii="Verdana" w:eastAsia="Times New Roman" w:hAnsi="Verdana" w:cs="Arial"/>
          <w:lang w:eastAsia="es-ES"/>
        </w:rPr>
        <w:t xml:space="preserve">no modifica los costos, tiempos ni requisitos asociados a los diferentes trámites ambientales, ni para las autoridades ambientales </w:t>
      </w:r>
      <w:r w:rsidR="00B05ADC">
        <w:rPr>
          <w:rFonts w:ascii="Verdana" w:eastAsia="Times New Roman" w:hAnsi="Verdana" w:cs="Arial"/>
          <w:lang w:eastAsia="es-ES"/>
        </w:rPr>
        <w:t xml:space="preserve">competentes </w:t>
      </w:r>
      <w:r w:rsidRPr="00CD715C">
        <w:rPr>
          <w:rFonts w:ascii="Verdana" w:eastAsia="Times New Roman" w:hAnsi="Verdana" w:cs="Arial"/>
          <w:lang w:eastAsia="es-ES"/>
        </w:rPr>
        <w:t>ni para los usuarios del recurso, en relación con las disposiciones de la Resolución 1740 de 2016.</w:t>
      </w:r>
    </w:p>
    <w:p w14:paraId="2423CB6C" w14:textId="77777777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</w:p>
    <w:p w14:paraId="0C3FB7F8" w14:textId="5BECA1A7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es-ES"/>
        </w:rPr>
      </w:pPr>
      <w:r w:rsidRPr="00CD715C">
        <w:rPr>
          <w:rFonts w:ascii="Verdana" w:eastAsia="Times New Roman" w:hAnsi="Verdana" w:cs="Arial"/>
          <w:lang w:eastAsia="es-ES"/>
        </w:rPr>
        <w:t xml:space="preserve">Sin embargo, dado que la implementación del formato de registro, actualización, y cancelación de guaduales y bambusales Categoría 1, requiere que este sea dispuesto en Ventanilla Integral de Trámites Ambientales en Línea - VITAL, tal como lo </w:t>
      </w:r>
      <w:r w:rsidR="00DF66E1">
        <w:rPr>
          <w:rFonts w:ascii="Verdana" w:eastAsia="Times New Roman" w:hAnsi="Verdana" w:cs="Arial"/>
          <w:lang w:eastAsia="es-ES"/>
        </w:rPr>
        <w:t xml:space="preserve">señala </w:t>
      </w:r>
      <w:r w:rsidRPr="00CD715C">
        <w:rPr>
          <w:rFonts w:ascii="Verdana" w:eastAsia="Times New Roman" w:hAnsi="Verdana" w:cs="Arial"/>
          <w:lang w:eastAsia="es-ES"/>
        </w:rPr>
        <w:t>el Artículo 124 del Decreto 2106 de 2019, se requiere que el Ministerio de Ambiente y Desarrollo Sostenible, realice este proceso como administrador de la ventanilla.</w:t>
      </w:r>
    </w:p>
    <w:p w14:paraId="03814E62" w14:textId="77777777" w:rsidR="000F6586" w:rsidRPr="00CD715C" w:rsidRDefault="000F6586" w:rsidP="00DF1D3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Verdana" w:eastAsia="Times New Roman" w:hAnsi="Verdana" w:cs="Arial"/>
          <w:lang w:eastAsia="es-ES"/>
        </w:rPr>
      </w:pPr>
    </w:p>
    <w:p w14:paraId="12A8BC4D" w14:textId="77777777" w:rsidR="000F6586" w:rsidRPr="00CD715C" w:rsidRDefault="000F6586" w:rsidP="00DF1D3D">
      <w:pPr>
        <w:numPr>
          <w:ilvl w:val="0"/>
          <w:numId w:val="5"/>
        </w:numPr>
        <w:spacing w:after="0" w:line="240" w:lineRule="auto"/>
        <w:jc w:val="both"/>
        <w:rPr>
          <w:rFonts w:ascii="Verdana" w:eastAsia="Times New Roman" w:hAnsi="Verdana" w:cs="Arial"/>
          <w:b/>
          <w:bCs/>
          <w:lang w:eastAsia="es-ES"/>
        </w:rPr>
      </w:pPr>
      <w:r w:rsidRPr="00CD715C">
        <w:rPr>
          <w:rFonts w:ascii="Verdana" w:eastAsia="Times New Roman" w:hAnsi="Verdana" w:cs="Arial"/>
          <w:b/>
          <w:bCs/>
          <w:lang w:eastAsia="es-ES"/>
        </w:rPr>
        <w:t>RECURSOS PRESUPUESTALES Y ADMINISTRATIVOS</w:t>
      </w:r>
    </w:p>
    <w:p w14:paraId="6E4CA060" w14:textId="77777777" w:rsidR="000F6586" w:rsidRPr="00CD715C" w:rsidRDefault="000F6586" w:rsidP="00DF1D3D">
      <w:pPr>
        <w:pStyle w:val="Prrafodelista"/>
        <w:spacing w:after="0" w:line="240" w:lineRule="auto"/>
        <w:ind w:left="0"/>
        <w:jc w:val="both"/>
        <w:rPr>
          <w:rFonts w:ascii="Verdana" w:hAnsi="Verdana" w:cs="Arial"/>
        </w:rPr>
      </w:pPr>
    </w:p>
    <w:p w14:paraId="0D5DF1B7" w14:textId="77777777" w:rsidR="000F6586" w:rsidRDefault="000F6586" w:rsidP="00DF1D3D">
      <w:pPr>
        <w:pStyle w:val="Textoindependiente"/>
        <w:widowControl w:val="0"/>
        <w:tabs>
          <w:tab w:val="left" w:pos="7797"/>
        </w:tabs>
        <w:rPr>
          <w:rFonts w:ascii="Verdana" w:hAnsi="Verdana" w:cs="Arial"/>
          <w:sz w:val="22"/>
          <w:szCs w:val="22"/>
          <w:lang w:val="es-ES_tradnl"/>
        </w:rPr>
      </w:pPr>
    </w:p>
    <w:p w14:paraId="269584AC" w14:textId="4BC6A088" w:rsidR="00393AE5" w:rsidRDefault="00393AE5" w:rsidP="00DF1D3D">
      <w:pPr>
        <w:pStyle w:val="Textoindependiente"/>
        <w:widowControl w:val="0"/>
        <w:tabs>
          <w:tab w:val="left" w:pos="7797"/>
        </w:tabs>
        <w:rPr>
          <w:rFonts w:ascii="Verdana" w:hAnsi="Verdana" w:cs="Arial"/>
          <w:sz w:val="22"/>
          <w:szCs w:val="22"/>
          <w:lang w:val="es-ES_tradnl"/>
        </w:rPr>
      </w:pPr>
      <w:r w:rsidRPr="00393AE5">
        <w:rPr>
          <w:rFonts w:ascii="Verdana" w:hAnsi="Verdana" w:cs="Arial"/>
          <w:sz w:val="22"/>
          <w:szCs w:val="22"/>
          <w:lang w:val="es-ES_tradnl"/>
        </w:rPr>
        <w:t xml:space="preserve">En consideración a lo establecido en el artículo 124 del Decreto 2106 de 2019, según el cual el Ministerio de Ambiente y Desarrollo Sostenible es el administrador de la Ventanilla Integral de Trámites Ambientales en Línea – VITAL, </w:t>
      </w:r>
      <w:r w:rsidR="00F2062F">
        <w:rPr>
          <w:rFonts w:ascii="Verdana" w:hAnsi="Verdana" w:cs="Arial"/>
          <w:sz w:val="22"/>
          <w:szCs w:val="22"/>
          <w:lang w:val="es-ES_tradnl"/>
        </w:rPr>
        <w:t xml:space="preserve">será el Ministerio quien </w:t>
      </w:r>
      <w:r w:rsidRPr="00393AE5">
        <w:rPr>
          <w:rFonts w:ascii="Verdana" w:hAnsi="Verdana" w:cs="Arial"/>
          <w:sz w:val="22"/>
          <w:szCs w:val="22"/>
          <w:lang w:val="es-ES_tradnl"/>
        </w:rPr>
        <w:t>dispondrá de los recursos necesarios para incorporar en la plataforma el Formato Único Nacional de Solicitud de Registro, Actualización y Cancelación de Guaduales y Bambusales de Categoría 1.</w:t>
      </w:r>
    </w:p>
    <w:p w14:paraId="1EFC3662" w14:textId="77777777" w:rsidR="00A0767D" w:rsidRPr="00CD715C" w:rsidRDefault="00A0767D" w:rsidP="00DF1D3D">
      <w:pPr>
        <w:pStyle w:val="Textoindependiente"/>
        <w:widowControl w:val="0"/>
        <w:tabs>
          <w:tab w:val="left" w:pos="7797"/>
        </w:tabs>
        <w:rPr>
          <w:rFonts w:ascii="Verdana" w:hAnsi="Verdana" w:cs="Arial"/>
          <w:sz w:val="22"/>
          <w:szCs w:val="22"/>
          <w:lang w:val="es-ES_tradnl"/>
        </w:rPr>
      </w:pPr>
    </w:p>
    <w:p w14:paraId="680EA0E4" w14:textId="2275E3B6" w:rsidR="000F6586" w:rsidRPr="00CD715C" w:rsidRDefault="000F6586" w:rsidP="00DF1D3D">
      <w:pPr>
        <w:pStyle w:val="Textoindependiente"/>
        <w:widowControl w:val="0"/>
        <w:tabs>
          <w:tab w:val="left" w:pos="7797"/>
        </w:tabs>
        <w:rPr>
          <w:rFonts w:ascii="Verdana" w:hAnsi="Verdana" w:cs="Arial"/>
          <w:sz w:val="22"/>
          <w:szCs w:val="22"/>
          <w:lang w:val="es-ES_tradnl"/>
        </w:rPr>
      </w:pPr>
      <w:r w:rsidRPr="00CD715C">
        <w:rPr>
          <w:rFonts w:ascii="Verdana" w:hAnsi="Verdana" w:cs="Arial"/>
          <w:sz w:val="22"/>
          <w:szCs w:val="22"/>
          <w:lang w:val="es-ES_tradnl"/>
        </w:rPr>
        <w:t xml:space="preserve">Una vez entre en vigencia la resolución propuesta, su implementación no requerirá recursos </w:t>
      </w:r>
      <w:r w:rsidR="00DF1D3D" w:rsidRPr="00CD715C">
        <w:rPr>
          <w:rFonts w:ascii="Verdana" w:hAnsi="Verdana" w:cs="Arial"/>
          <w:sz w:val="22"/>
          <w:szCs w:val="22"/>
          <w:lang w:val="es-ES_tradnl"/>
        </w:rPr>
        <w:t>adicionales.</w:t>
      </w:r>
    </w:p>
    <w:p w14:paraId="143F3980" w14:textId="77777777" w:rsidR="000F6586" w:rsidRPr="00CD715C" w:rsidRDefault="000F6586" w:rsidP="00DF1D3D">
      <w:pPr>
        <w:pStyle w:val="Prrafodelista"/>
        <w:spacing w:after="0" w:line="240" w:lineRule="auto"/>
        <w:ind w:left="284"/>
        <w:jc w:val="both"/>
        <w:rPr>
          <w:rFonts w:ascii="Verdana" w:hAnsi="Verdana" w:cs="Arial"/>
        </w:rPr>
      </w:pPr>
    </w:p>
    <w:p w14:paraId="588DA1D7" w14:textId="77777777" w:rsidR="000F6586" w:rsidRPr="00CD715C" w:rsidRDefault="000F6586" w:rsidP="00DF1D3D">
      <w:pPr>
        <w:pStyle w:val="Prrafodelista"/>
        <w:spacing w:after="0" w:line="240" w:lineRule="auto"/>
        <w:ind w:left="284"/>
        <w:jc w:val="both"/>
        <w:rPr>
          <w:rFonts w:ascii="Verdana" w:hAnsi="Verdana" w:cs="Arial"/>
        </w:rPr>
      </w:pPr>
    </w:p>
    <w:p w14:paraId="4C8693BD" w14:textId="77777777" w:rsidR="000F6586" w:rsidRPr="00CD715C" w:rsidRDefault="000F6586" w:rsidP="00DF1D3D">
      <w:pPr>
        <w:pStyle w:val="Prrafodelista"/>
        <w:spacing w:after="0" w:line="240" w:lineRule="auto"/>
        <w:ind w:left="284"/>
        <w:jc w:val="both"/>
        <w:rPr>
          <w:rFonts w:ascii="Verdana" w:hAnsi="Verdana" w:cs="Arial"/>
        </w:rPr>
      </w:pPr>
    </w:p>
    <w:p w14:paraId="1799680F" w14:textId="075CDED2" w:rsidR="00F32D10" w:rsidRPr="000F6586" w:rsidRDefault="00F32D10" w:rsidP="00DF1D3D">
      <w:pPr>
        <w:spacing w:after="0" w:line="240" w:lineRule="auto"/>
        <w:jc w:val="both"/>
        <w:rPr>
          <w:rFonts w:ascii="Verdana" w:eastAsia="Arial Nova" w:hAnsi="Verdana" w:cs="Arial Nova"/>
          <w:color w:val="808080"/>
          <w:sz w:val="14"/>
          <w:szCs w:val="14"/>
          <w:lang w:val="es-CO"/>
        </w:rPr>
      </w:pPr>
    </w:p>
    <w:sectPr w:rsidR="00F32D10" w:rsidRPr="000F6586" w:rsidSect="001B52E6">
      <w:headerReference w:type="default" r:id="rId9"/>
      <w:footerReference w:type="default" r:id="rId10"/>
      <w:pgSz w:w="12240" w:h="15840"/>
      <w:pgMar w:top="2127" w:right="1701" w:bottom="1417" w:left="1701" w:header="794" w:footer="10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521E0" w14:textId="77777777" w:rsidR="00A40428" w:rsidRDefault="00A40428" w:rsidP="00757B36">
      <w:pPr>
        <w:spacing w:after="0" w:line="240" w:lineRule="auto"/>
      </w:pPr>
      <w:r>
        <w:separator/>
      </w:r>
    </w:p>
  </w:endnote>
  <w:endnote w:type="continuationSeparator" w:id="0">
    <w:p w14:paraId="7D69A3CE" w14:textId="77777777" w:rsidR="00A40428" w:rsidRDefault="00A40428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795CDCB7" w14:textId="77777777" w:rsidR="0022254F" w:rsidRPr="003A3319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5CFA262C">
                  <wp:simplePos x="0" y="0"/>
                  <wp:positionH relativeFrom="margin">
                    <wp:posOffset>-127635</wp:posOffset>
                  </wp:positionH>
                  <wp:positionV relativeFrom="paragraph">
                    <wp:posOffset>-509905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84BBB3" w14:textId="77777777" w:rsidR="00487230" w:rsidRDefault="00487230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</w:p>
                            <w:p w14:paraId="53093DF3" w14:textId="77777777" w:rsidR="00487230" w:rsidRDefault="00487230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</w:p>
                            <w:p w14:paraId="79D92C5A" w14:textId="0621A024" w:rsidR="00D34D20" w:rsidRPr="00256928" w:rsidRDefault="00D34D20" w:rsidP="00D34D20">
                              <w:pPr>
                                <w:spacing w:after="0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A3319" w:rsidRDefault="00726A3B" w:rsidP="00D34D20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A3319" w:rsidRDefault="00D34D20" w:rsidP="00D34D20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6C100408" w:rsidR="00D34D20" w:rsidRPr="003A3319" w:rsidRDefault="00D34D20" w:rsidP="00D34D20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r w:rsidR="0098792B"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3F743D65" w14:textId="03C32F22" w:rsidR="00D34D20" w:rsidRPr="003A3319" w:rsidRDefault="00D34D20" w:rsidP="00256928">
                              <w:pPr>
                                <w:spacing w:after="0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10.05pt;margin-top:-40.15pt;width:429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uIvGAIAAC0EAAAOAAAAZHJzL2Uyb0RvYy54bWysU8tu2zAQvBfoPxC817JVO4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" filled="f" stroked="f" strokeweight=".5pt">
                  <v:textbox>
                    <w:txbxContent>
                      <w:p w14:paraId="3384BBB3" w14:textId="77777777" w:rsidR="00487230" w:rsidRDefault="00487230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</w:p>
                      <w:p w14:paraId="53093DF3" w14:textId="77777777" w:rsidR="00487230" w:rsidRDefault="00487230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</w:p>
                      <w:p w14:paraId="79D92C5A" w14:textId="0621A024" w:rsidR="00D34D20" w:rsidRPr="00256928" w:rsidRDefault="00D34D20" w:rsidP="00D34D20">
                        <w:pPr>
                          <w:spacing w:after="0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A3319" w:rsidRDefault="00726A3B" w:rsidP="00D34D20">
                        <w:pPr>
                          <w:spacing w:after="0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A3319" w:rsidRDefault="00D34D20" w:rsidP="00D34D20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6C100408" w:rsidR="00D34D20" w:rsidRPr="003A3319" w:rsidRDefault="00D34D20" w:rsidP="00D34D20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r w:rsidR="0098792B"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3F743D65" w14:textId="03C32F22" w:rsidR="00D34D20" w:rsidRPr="003A3319" w:rsidRDefault="00D34D20" w:rsidP="00256928">
                        <w:pPr>
                          <w:spacing w:after="0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0F41A7D3" w:rsidR="0022254F" w:rsidRPr="003A3319" w:rsidRDefault="00A40428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4D00525" w14:textId="140CFF39" w:rsidR="00EA4BE4" w:rsidRPr="003A3319" w:rsidRDefault="00EA4BE4" w:rsidP="00EA4BE4">
    <w:pPr>
      <w:pStyle w:val="Piedepgina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 xml:space="preserve">F-E-SIG-26:V7 </w:t>
    </w:r>
    <w:r w:rsidR="003A3319"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409F4B9A" w14:textId="79830460" w:rsidR="00D34D20" w:rsidRPr="00D34D20" w:rsidRDefault="00D34D20" w:rsidP="001B52E6">
    <w:pPr>
      <w:spacing w:after="0"/>
      <w:jc w:val="right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EBF8B" w14:textId="77777777" w:rsidR="00A40428" w:rsidRDefault="00A40428" w:rsidP="00757B36">
      <w:pPr>
        <w:spacing w:after="0" w:line="240" w:lineRule="auto"/>
      </w:pPr>
      <w:r>
        <w:separator/>
      </w:r>
    </w:p>
  </w:footnote>
  <w:footnote w:type="continuationSeparator" w:id="0">
    <w:p w14:paraId="3B4B222C" w14:textId="77777777" w:rsidR="00A40428" w:rsidRDefault="00A40428" w:rsidP="00757B36">
      <w:pPr>
        <w:spacing w:after="0" w:line="240" w:lineRule="auto"/>
      </w:pPr>
      <w:r>
        <w:continuationSeparator/>
      </w:r>
    </w:p>
  </w:footnote>
  <w:footnote w:id="1">
    <w:p w14:paraId="6C651F76" w14:textId="58BB60AF" w:rsidR="00AE1A39" w:rsidRPr="00AE1A39" w:rsidRDefault="009A3F90" w:rsidP="00275967">
      <w:pPr>
        <w:pStyle w:val="Textonotapie"/>
        <w:jc w:val="both"/>
        <w:rPr>
          <w:lang w:val="es-CO"/>
        </w:rPr>
      </w:pPr>
      <w:r>
        <w:rPr>
          <w:rStyle w:val="Refdenotaalpie"/>
        </w:rPr>
        <w:footnoteRef/>
      </w:r>
      <w:r>
        <w:t xml:space="preserve"> </w:t>
      </w:r>
      <w:r w:rsidR="00784B38">
        <w:t>S</w:t>
      </w:r>
      <w:proofErr w:type="spellStart"/>
      <w:r w:rsidR="00AE1A39" w:rsidRPr="00AE1A39">
        <w:rPr>
          <w:bCs/>
          <w:lang w:val="es-ES"/>
        </w:rPr>
        <w:t>e</w:t>
      </w:r>
      <w:proofErr w:type="spellEnd"/>
      <w:r w:rsidR="00AE1A39" w:rsidRPr="00AE1A39">
        <w:rPr>
          <w:bCs/>
          <w:lang w:val="es-ES"/>
        </w:rPr>
        <w:t xml:space="preserve"> entenderá </w:t>
      </w:r>
      <w:r w:rsidR="00784B38">
        <w:rPr>
          <w:bCs/>
          <w:lang w:val="es-ES"/>
        </w:rPr>
        <w:t xml:space="preserve">por autoridades ambientales competentes </w:t>
      </w:r>
      <w:r w:rsidR="00AE1A39" w:rsidRPr="00AE1A39">
        <w:rPr>
          <w:bCs/>
          <w:lang w:val="es-ES"/>
        </w:rPr>
        <w:t>las Corporaciones Autónomas Regionales, las de Desarrollo Sostenible, a las Unidades Ambientales de los Grandes Centros Urbanos a que se refiere el artículo 66 de la Ley 99 de 1993, los Establecimientos Públicos Ambientales a los que hace alusión las Leyes 768 de 2002 y 1617 de 2013 y Parques Nacionales Naturales de Colombia.</w:t>
      </w:r>
    </w:p>
    <w:p w14:paraId="68A5958C" w14:textId="7E74E5C7" w:rsidR="009A3F90" w:rsidRPr="00275967" w:rsidRDefault="009A3F90">
      <w:pPr>
        <w:pStyle w:val="Textonotapie"/>
        <w:rPr>
          <w:lang w:val="es-CO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B676E97" wp14:editId="64E70879">
          <wp:simplePos x="0" y="0"/>
          <wp:positionH relativeFrom="page">
            <wp:posOffset>6674</wp:posOffset>
          </wp:positionH>
          <wp:positionV relativeFrom="paragraph">
            <wp:posOffset>-436231</wp:posOffset>
          </wp:positionV>
          <wp:extent cx="7756896" cy="10051011"/>
          <wp:effectExtent l="0" t="0" r="0" b="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67057"/>
    <w:multiLevelType w:val="hybridMultilevel"/>
    <w:tmpl w:val="436CEAB0"/>
    <w:lvl w:ilvl="0" w:tplc="EE7CA1A4">
      <w:start w:val="10"/>
      <w:numFmt w:val="decimal"/>
      <w:lvlText w:val="%1."/>
      <w:lvlJc w:val="left"/>
      <w:pPr>
        <w:ind w:left="5"/>
      </w:pPr>
      <w:rPr>
        <w:rFonts w:ascii="Arial" w:eastAsia="Arial" w:hAnsi="Arial" w:cs="Arial"/>
        <w:b w:val="0"/>
        <w:i/>
        <w:iCs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34A9CBE">
      <w:start w:val="1"/>
      <w:numFmt w:val="lowerLetter"/>
      <w:lvlText w:val="%2"/>
      <w:lvlJc w:val="left"/>
      <w:pPr>
        <w:ind w:left="1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4067DE">
      <w:start w:val="1"/>
      <w:numFmt w:val="lowerRoman"/>
      <w:lvlText w:val="%3"/>
      <w:lvlJc w:val="left"/>
      <w:pPr>
        <w:ind w:left="1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B8CE58">
      <w:start w:val="1"/>
      <w:numFmt w:val="decimal"/>
      <w:lvlText w:val="%4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04E718">
      <w:start w:val="1"/>
      <w:numFmt w:val="lowerLetter"/>
      <w:lvlText w:val="%5"/>
      <w:lvlJc w:val="left"/>
      <w:pPr>
        <w:ind w:left="3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90CE52">
      <w:start w:val="1"/>
      <w:numFmt w:val="lowerRoman"/>
      <w:lvlText w:val="%6"/>
      <w:lvlJc w:val="left"/>
      <w:pPr>
        <w:ind w:left="3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44D18E">
      <w:start w:val="1"/>
      <w:numFmt w:val="decimal"/>
      <w:lvlText w:val="%7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90F23E">
      <w:start w:val="1"/>
      <w:numFmt w:val="lowerLetter"/>
      <w:lvlText w:val="%8"/>
      <w:lvlJc w:val="left"/>
      <w:pPr>
        <w:ind w:left="54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727324">
      <w:start w:val="1"/>
      <w:numFmt w:val="lowerRoman"/>
      <w:lvlText w:val="%9"/>
      <w:lvlJc w:val="left"/>
      <w:pPr>
        <w:ind w:left="6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C87B2D"/>
    <w:multiLevelType w:val="multilevel"/>
    <w:tmpl w:val="D396D6E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5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6A2613B4"/>
    <w:multiLevelType w:val="hybridMultilevel"/>
    <w:tmpl w:val="3142136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8D36AD"/>
    <w:multiLevelType w:val="hybridMultilevel"/>
    <w:tmpl w:val="74403A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854066"/>
    <w:multiLevelType w:val="hybridMultilevel"/>
    <w:tmpl w:val="960CD7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1076932">
    <w:abstractNumId w:val="0"/>
  </w:num>
  <w:num w:numId="2" w16cid:durableId="514920684">
    <w:abstractNumId w:val="5"/>
  </w:num>
  <w:num w:numId="3" w16cid:durableId="1353799605">
    <w:abstractNumId w:val="1"/>
  </w:num>
  <w:num w:numId="4" w16cid:durableId="115762997">
    <w:abstractNumId w:val="3"/>
  </w:num>
  <w:num w:numId="5" w16cid:durableId="1519003206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3364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2A4E"/>
    <w:rsid w:val="00017BC6"/>
    <w:rsid w:val="00025699"/>
    <w:rsid w:val="00026243"/>
    <w:rsid w:val="000374CD"/>
    <w:rsid w:val="00062A95"/>
    <w:rsid w:val="00086096"/>
    <w:rsid w:val="000A0672"/>
    <w:rsid w:val="000A2F21"/>
    <w:rsid w:val="000B0CA4"/>
    <w:rsid w:val="000C262E"/>
    <w:rsid w:val="000C7670"/>
    <w:rsid w:val="000D1FF6"/>
    <w:rsid w:val="000D371D"/>
    <w:rsid w:val="000F6586"/>
    <w:rsid w:val="000F77BC"/>
    <w:rsid w:val="0011447C"/>
    <w:rsid w:val="00115178"/>
    <w:rsid w:val="00173CDC"/>
    <w:rsid w:val="00183AF7"/>
    <w:rsid w:val="001B3B79"/>
    <w:rsid w:val="001B52E6"/>
    <w:rsid w:val="001B54DE"/>
    <w:rsid w:val="001E2AD6"/>
    <w:rsid w:val="001E7299"/>
    <w:rsid w:val="0022254F"/>
    <w:rsid w:val="00222D6D"/>
    <w:rsid w:val="00255268"/>
    <w:rsid w:val="00255542"/>
    <w:rsid w:val="00256928"/>
    <w:rsid w:val="002607F4"/>
    <w:rsid w:val="0026797C"/>
    <w:rsid w:val="00275967"/>
    <w:rsid w:val="00290BE0"/>
    <w:rsid w:val="002A434F"/>
    <w:rsid w:val="002B1EE0"/>
    <w:rsid w:val="002C5F90"/>
    <w:rsid w:val="002D21EC"/>
    <w:rsid w:val="002E3452"/>
    <w:rsid w:val="002E7B9B"/>
    <w:rsid w:val="002E7C33"/>
    <w:rsid w:val="00302DE2"/>
    <w:rsid w:val="0030489C"/>
    <w:rsid w:val="00320772"/>
    <w:rsid w:val="00321D90"/>
    <w:rsid w:val="003537BC"/>
    <w:rsid w:val="00355170"/>
    <w:rsid w:val="0037240D"/>
    <w:rsid w:val="0037652A"/>
    <w:rsid w:val="00393AE5"/>
    <w:rsid w:val="003A3319"/>
    <w:rsid w:val="003A4594"/>
    <w:rsid w:val="003B397E"/>
    <w:rsid w:val="003C39AF"/>
    <w:rsid w:val="003E6DEA"/>
    <w:rsid w:val="003F0C20"/>
    <w:rsid w:val="004037D0"/>
    <w:rsid w:val="00416681"/>
    <w:rsid w:val="00421F2C"/>
    <w:rsid w:val="00436E05"/>
    <w:rsid w:val="0044115E"/>
    <w:rsid w:val="00461192"/>
    <w:rsid w:val="0046122E"/>
    <w:rsid w:val="004771ED"/>
    <w:rsid w:val="00487230"/>
    <w:rsid w:val="0049322A"/>
    <w:rsid w:val="004948AC"/>
    <w:rsid w:val="00496297"/>
    <w:rsid w:val="004B16AA"/>
    <w:rsid w:val="004B600D"/>
    <w:rsid w:val="004C44BD"/>
    <w:rsid w:val="004D437A"/>
    <w:rsid w:val="004D698D"/>
    <w:rsid w:val="004D7900"/>
    <w:rsid w:val="004E2441"/>
    <w:rsid w:val="004E7402"/>
    <w:rsid w:val="004F48D7"/>
    <w:rsid w:val="00512E63"/>
    <w:rsid w:val="005357DA"/>
    <w:rsid w:val="005434D2"/>
    <w:rsid w:val="005505E1"/>
    <w:rsid w:val="00573614"/>
    <w:rsid w:val="00582C71"/>
    <w:rsid w:val="005933C5"/>
    <w:rsid w:val="005A02F9"/>
    <w:rsid w:val="005B1207"/>
    <w:rsid w:val="005B71ED"/>
    <w:rsid w:val="005F0648"/>
    <w:rsid w:val="005F4361"/>
    <w:rsid w:val="00600EA3"/>
    <w:rsid w:val="006026E4"/>
    <w:rsid w:val="00602F71"/>
    <w:rsid w:val="00603738"/>
    <w:rsid w:val="00611192"/>
    <w:rsid w:val="006166BF"/>
    <w:rsid w:val="00617E18"/>
    <w:rsid w:val="00632C80"/>
    <w:rsid w:val="00633CB4"/>
    <w:rsid w:val="006344C5"/>
    <w:rsid w:val="0064339E"/>
    <w:rsid w:val="0065062A"/>
    <w:rsid w:val="00655570"/>
    <w:rsid w:val="0066033D"/>
    <w:rsid w:val="006612A5"/>
    <w:rsid w:val="00676E9C"/>
    <w:rsid w:val="006A51A8"/>
    <w:rsid w:val="006B49FF"/>
    <w:rsid w:val="007125DE"/>
    <w:rsid w:val="00717BC1"/>
    <w:rsid w:val="00724320"/>
    <w:rsid w:val="00726A3B"/>
    <w:rsid w:val="0073248C"/>
    <w:rsid w:val="00745DEB"/>
    <w:rsid w:val="00757B36"/>
    <w:rsid w:val="00784B38"/>
    <w:rsid w:val="0079362E"/>
    <w:rsid w:val="007D6E1E"/>
    <w:rsid w:val="007F5F78"/>
    <w:rsid w:val="00835B07"/>
    <w:rsid w:val="00835BDF"/>
    <w:rsid w:val="008459F3"/>
    <w:rsid w:val="0087238D"/>
    <w:rsid w:val="008902E0"/>
    <w:rsid w:val="00891512"/>
    <w:rsid w:val="008A5FA5"/>
    <w:rsid w:val="008A628F"/>
    <w:rsid w:val="008B3569"/>
    <w:rsid w:val="008C1DE9"/>
    <w:rsid w:val="008D34BC"/>
    <w:rsid w:val="008D747C"/>
    <w:rsid w:val="008E3DC8"/>
    <w:rsid w:val="008F3DE9"/>
    <w:rsid w:val="0090544B"/>
    <w:rsid w:val="00944AD2"/>
    <w:rsid w:val="00956A43"/>
    <w:rsid w:val="00970065"/>
    <w:rsid w:val="00982F0F"/>
    <w:rsid w:val="0098792B"/>
    <w:rsid w:val="00996729"/>
    <w:rsid w:val="009A3F90"/>
    <w:rsid w:val="009B161A"/>
    <w:rsid w:val="009D7774"/>
    <w:rsid w:val="009E20CF"/>
    <w:rsid w:val="009E28CB"/>
    <w:rsid w:val="009F7066"/>
    <w:rsid w:val="00A01A53"/>
    <w:rsid w:val="00A0767D"/>
    <w:rsid w:val="00A40428"/>
    <w:rsid w:val="00A40837"/>
    <w:rsid w:val="00A46866"/>
    <w:rsid w:val="00A50971"/>
    <w:rsid w:val="00A66766"/>
    <w:rsid w:val="00A97140"/>
    <w:rsid w:val="00AA0E45"/>
    <w:rsid w:val="00AB380A"/>
    <w:rsid w:val="00AB5047"/>
    <w:rsid w:val="00AC02B6"/>
    <w:rsid w:val="00AC6CBE"/>
    <w:rsid w:val="00AE1A39"/>
    <w:rsid w:val="00AF09C5"/>
    <w:rsid w:val="00AF4018"/>
    <w:rsid w:val="00B04F41"/>
    <w:rsid w:val="00B05ADC"/>
    <w:rsid w:val="00B07C82"/>
    <w:rsid w:val="00B16B67"/>
    <w:rsid w:val="00B3325E"/>
    <w:rsid w:val="00B37F1B"/>
    <w:rsid w:val="00B4131B"/>
    <w:rsid w:val="00B455A0"/>
    <w:rsid w:val="00B6136F"/>
    <w:rsid w:val="00B97D41"/>
    <w:rsid w:val="00BD2546"/>
    <w:rsid w:val="00C04CA8"/>
    <w:rsid w:val="00C31B4D"/>
    <w:rsid w:val="00C412CC"/>
    <w:rsid w:val="00C50216"/>
    <w:rsid w:val="00C5186C"/>
    <w:rsid w:val="00C5330C"/>
    <w:rsid w:val="00C56833"/>
    <w:rsid w:val="00C61FD5"/>
    <w:rsid w:val="00C75854"/>
    <w:rsid w:val="00C964EC"/>
    <w:rsid w:val="00CA5859"/>
    <w:rsid w:val="00CA7169"/>
    <w:rsid w:val="00CB6F08"/>
    <w:rsid w:val="00CC6EB7"/>
    <w:rsid w:val="00CD357E"/>
    <w:rsid w:val="00D16E9E"/>
    <w:rsid w:val="00D22025"/>
    <w:rsid w:val="00D25EED"/>
    <w:rsid w:val="00D30F15"/>
    <w:rsid w:val="00D31E6F"/>
    <w:rsid w:val="00D330E1"/>
    <w:rsid w:val="00D34D20"/>
    <w:rsid w:val="00D83546"/>
    <w:rsid w:val="00DA1924"/>
    <w:rsid w:val="00DD1F5C"/>
    <w:rsid w:val="00DF02B8"/>
    <w:rsid w:val="00DF1D3D"/>
    <w:rsid w:val="00DF667F"/>
    <w:rsid w:val="00DF66E1"/>
    <w:rsid w:val="00E3693B"/>
    <w:rsid w:val="00E667BD"/>
    <w:rsid w:val="00E91ED9"/>
    <w:rsid w:val="00E95447"/>
    <w:rsid w:val="00E97EBE"/>
    <w:rsid w:val="00EA4BE4"/>
    <w:rsid w:val="00EA6989"/>
    <w:rsid w:val="00EB2E86"/>
    <w:rsid w:val="00EC7E0F"/>
    <w:rsid w:val="00F04D38"/>
    <w:rsid w:val="00F2062F"/>
    <w:rsid w:val="00F260DF"/>
    <w:rsid w:val="00F32D10"/>
    <w:rsid w:val="00F3791D"/>
    <w:rsid w:val="00F5298D"/>
    <w:rsid w:val="00F66ABE"/>
    <w:rsid w:val="00FA1E4B"/>
    <w:rsid w:val="00FA1E58"/>
    <w:rsid w:val="00FB3D18"/>
    <w:rsid w:val="00FE01BE"/>
    <w:rsid w:val="00FF1423"/>
    <w:rsid w:val="00FF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22E"/>
    <w:pPr>
      <w:spacing w:after="200" w:line="276" w:lineRule="auto"/>
    </w:pPr>
    <w:rPr>
      <w:rFonts w:ascii="Calibri" w:eastAsia="Calibri" w:hAnsi="Calibri" w:cs="Calibri"/>
      <w:kern w:val="0"/>
      <w:lang w:val="es-ES_tradnl" w:eastAsia="es-CO"/>
      <w14:ligatures w14:val="none"/>
    </w:rPr>
  </w:style>
  <w:style w:type="paragraph" w:styleId="Ttulo3">
    <w:name w:val="heading 3"/>
    <w:aliases w:val="título 3,Sous-titre (3),Título 3 AAL,Título 3 - PDE,Título 3 CL,ING-PORCE III (T3),Título 3 CL1,ING-PORCE III (T3)1,Título 3 CL2,ING-PORCE III (T3)2,Título 3 CL11,ING-PORCE III (T3)11,Título 3 CL3,ING-PORCE III (T3)3,Título 3 CL4,Título 3 CL5"/>
    <w:basedOn w:val="Normal"/>
    <w:next w:val="Normal"/>
    <w:link w:val="Ttulo3Car"/>
    <w:uiPriority w:val="9"/>
    <w:qFormat/>
    <w:rsid w:val="000F6586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46122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6122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6122E"/>
    <w:rPr>
      <w:rFonts w:ascii="Calibri" w:eastAsia="Calibri" w:hAnsi="Calibri" w:cs="Calibri"/>
      <w:kern w:val="0"/>
      <w:sz w:val="20"/>
      <w:szCs w:val="20"/>
      <w:lang w:val="es-ES_tradnl" w:eastAsia="es-CO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115178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66ABE"/>
    <w:pPr>
      <w:spacing w:after="0" w:line="240" w:lineRule="auto"/>
    </w:pPr>
    <w:rPr>
      <w:rFonts w:ascii="Calibri" w:eastAsia="Calibri" w:hAnsi="Calibri" w:cs="Calibri"/>
      <w:kern w:val="0"/>
      <w:lang w:val="es-ES_tradnl" w:eastAsia="es-CO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2569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25699"/>
    <w:rPr>
      <w:rFonts w:ascii="Calibri" w:eastAsia="Calibri" w:hAnsi="Calibri" w:cs="Calibri"/>
      <w:kern w:val="0"/>
      <w:sz w:val="20"/>
      <w:szCs w:val="20"/>
      <w:lang w:val="es-ES_tradnl" w:eastAsia="es-CO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025699"/>
    <w:rPr>
      <w:vertAlign w:val="superscript"/>
    </w:rPr>
  </w:style>
  <w:style w:type="character" w:customStyle="1" w:styleId="Ttulo3Car">
    <w:name w:val="Título 3 Car"/>
    <w:aliases w:val="título 3 Car,Sous-titre (3) Car,Título 3 AAL Car,Título 3 - PDE Car,Título 3 CL Car,ING-PORCE III (T3) Car,Título 3 CL1 Car,ING-PORCE III (T3)1 Car,Título 3 CL2 Car,ING-PORCE III (T3)2 Car,Título 3 CL11 Car,ING-PORCE III (T3)11 Car"/>
    <w:basedOn w:val="Fuentedeprrafopredeter"/>
    <w:link w:val="Ttulo3"/>
    <w:uiPriority w:val="9"/>
    <w:rsid w:val="000F6586"/>
    <w:rPr>
      <w:rFonts w:ascii="Arial" w:eastAsia="Times New Roman" w:hAnsi="Arial" w:cs="Times New Roman"/>
      <w:kern w:val="0"/>
      <w:sz w:val="24"/>
      <w:szCs w:val="20"/>
      <w:lang w:val="es-ES_tradnl" w:eastAsia="es-ES"/>
      <w14:ligatures w14:val="none"/>
    </w:rPr>
  </w:style>
  <w:style w:type="paragraph" w:styleId="Textoindependiente">
    <w:name w:val="Body Text"/>
    <w:basedOn w:val="Normal"/>
    <w:link w:val="TextoindependienteCar"/>
    <w:uiPriority w:val="99"/>
    <w:unhideWhenUsed/>
    <w:rsid w:val="000F65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F6586"/>
    <w:rPr>
      <w:rFonts w:ascii="Times New Roman" w:eastAsia="Times New Roman" w:hAnsi="Times New Roman" w:cs="Times New Roman"/>
      <w:kern w:val="0"/>
      <w:sz w:val="24"/>
      <w:szCs w:val="2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7DED5-77F4-4152-A90C-C2DE9138C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1136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Gina Martínez</cp:lastModifiedBy>
  <cp:revision>26</cp:revision>
  <cp:lastPrinted>2026-03-02T20:11:00Z</cp:lastPrinted>
  <dcterms:created xsi:type="dcterms:W3CDTF">2025-12-09T14:21:00Z</dcterms:created>
  <dcterms:modified xsi:type="dcterms:W3CDTF">2026-03-02T20:11:00Z</dcterms:modified>
</cp:coreProperties>
</file>